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14" w:rsidRPr="00203BA0" w:rsidRDefault="00716BCB" w:rsidP="00716BCB">
      <w:pPr>
        <w:pStyle w:val="NoSpacing"/>
        <w:rPr>
          <w:b/>
        </w:rPr>
      </w:pPr>
      <w:bookmarkStart w:id="0" w:name="_GoBack"/>
      <w:bookmarkEnd w:id="0"/>
      <w:r w:rsidRPr="00203BA0">
        <w:rPr>
          <w:b/>
        </w:rPr>
        <w:t>Teaching portfolio rubric – Draft</w:t>
      </w:r>
      <w:r w:rsidR="00AE07D3">
        <w:rPr>
          <w:b/>
        </w:rPr>
        <w:t>,</w:t>
      </w:r>
      <w:r w:rsidR="0004176F">
        <w:rPr>
          <w:b/>
        </w:rPr>
        <w:t xml:space="preserve"> University of New Mexico*</w:t>
      </w:r>
    </w:p>
    <w:p w:rsidR="00716BCB" w:rsidRDefault="00716BCB" w:rsidP="00716BCB">
      <w:pPr>
        <w:pStyle w:val="NoSpacing"/>
      </w:pPr>
      <w:r w:rsidRPr="00203BA0">
        <w:rPr>
          <w:i/>
        </w:rPr>
        <w:t>Note:</w:t>
      </w:r>
      <w:r>
        <w:t xml:space="preserve"> Criteria may be customized for each department.</w:t>
      </w:r>
    </w:p>
    <w:p w:rsidR="00716BCB" w:rsidRDefault="00716BCB" w:rsidP="00716BCB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7"/>
        <w:gridCol w:w="5025"/>
        <w:gridCol w:w="4318"/>
      </w:tblGrid>
      <w:tr w:rsidR="00716BCB" w:rsidTr="0004176F">
        <w:tc>
          <w:tcPr>
            <w:tcW w:w="1393" w:type="pct"/>
          </w:tcPr>
          <w:p w:rsidR="00716BCB" w:rsidRPr="005C5842" w:rsidRDefault="00716BCB" w:rsidP="00716BCB">
            <w:pPr>
              <w:pStyle w:val="NoSpacing"/>
              <w:rPr>
                <w:i/>
              </w:rPr>
            </w:pPr>
            <w:r w:rsidRPr="005C5842">
              <w:rPr>
                <w:i/>
              </w:rPr>
              <w:t>Improvement required to meet expectations</w:t>
            </w:r>
          </w:p>
        </w:tc>
        <w:tc>
          <w:tcPr>
            <w:tcW w:w="1940" w:type="pct"/>
          </w:tcPr>
          <w:p w:rsidR="00716BCB" w:rsidRPr="005C5842" w:rsidRDefault="00716BCB" w:rsidP="00716BCB">
            <w:pPr>
              <w:pStyle w:val="NoSpacing"/>
              <w:rPr>
                <w:i/>
              </w:rPr>
            </w:pPr>
            <w:r w:rsidRPr="005C5842">
              <w:rPr>
                <w:i/>
              </w:rPr>
              <w:t>Meets expectations as an effective teacher</w:t>
            </w:r>
          </w:p>
        </w:tc>
        <w:tc>
          <w:tcPr>
            <w:tcW w:w="1667" w:type="pct"/>
          </w:tcPr>
          <w:p w:rsidR="00716BCB" w:rsidRPr="005C5842" w:rsidRDefault="00716BCB" w:rsidP="00716BCB">
            <w:pPr>
              <w:pStyle w:val="NoSpacing"/>
              <w:rPr>
                <w:i/>
              </w:rPr>
            </w:pPr>
            <w:r w:rsidRPr="005C5842">
              <w:rPr>
                <w:i/>
              </w:rPr>
              <w:t>Meets criteria for teaching excellence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716BCB">
            <w:pPr>
              <w:pStyle w:val="NoSpacing"/>
            </w:pPr>
            <w:r>
              <w:t>CA1. Strong content knowledge</w:t>
            </w:r>
          </w:p>
        </w:tc>
      </w:tr>
      <w:tr w:rsidR="00716BCB" w:rsidTr="0004176F">
        <w:tc>
          <w:tcPr>
            <w:tcW w:w="1393" w:type="pct"/>
          </w:tcPr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240" w:hanging="180"/>
            </w:pPr>
            <w:r>
              <w:t>No evidence that content has changed commensurate with changes in the discipline.</w:t>
            </w:r>
          </w:p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240" w:hanging="180"/>
            </w:pPr>
            <w:r>
              <w:t>Peer reviewers express concern about content knowledge</w:t>
            </w:r>
          </w:p>
        </w:tc>
        <w:tc>
          <w:tcPr>
            <w:tcW w:w="1940" w:type="pct"/>
          </w:tcPr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346" w:hanging="180"/>
            </w:pPr>
            <w:r>
              <w:t>Provides evidence that content has been updated if the course has been taught over several years.</w:t>
            </w:r>
          </w:p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346" w:hanging="180"/>
            </w:pPr>
            <w:r>
              <w:t>Peer reviewers express confidence in content knowledge [peer reviews may be independent of portfolio]</w:t>
            </w:r>
          </w:p>
        </w:tc>
        <w:tc>
          <w:tcPr>
            <w:tcW w:w="1667" w:type="pct"/>
          </w:tcPr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316" w:hanging="180"/>
            </w:pPr>
            <w:r>
              <w:t>Explains sources of content knowledge for courses, as described in syllabi</w:t>
            </w:r>
          </w:p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316" w:hanging="180"/>
            </w:pPr>
            <w:r>
              <w:t>Peer reviewers express confidence in content knowledge [peer reviews may be independent of portfolio]</w:t>
            </w:r>
          </w:p>
          <w:p w:rsidR="00716BCB" w:rsidRDefault="00716BCB" w:rsidP="00434AFD">
            <w:pPr>
              <w:pStyle w:val="NoSpacing"/>
              <w:numPr>
                <w:ilvl w:val="0"/>
                <w:numId w:val="1"/>
              </w:numPr>
              <w:ind w:left="316" w:hanging="180"/>
            </w:pPr>
            <w:r>
              <w:t>Explains and shows evidence of inquiry into how students master content knowledge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716BCB">
            <w:pPr>
              <w:pStyle w:val="NoSpacing"/>
            </w:pPr>
            <w:r>
              <w:t>CA2. Growing knowledge of teaching/learning practice</w:t>
            </w:r>
          </w:p>
        </w:tc>
      </w:tr>
      <w:tr w:rsidR="00716BCB" w:rsidTr="0004176F">
        <w:tc>
          <w:tcPr>
            <w:tcW w:w="1393" w:type="pct"/>
          </w:tcPr>
          <w:p w:rsidR="00716BCB" w:rsidRDefault="00716BCB" w:rsidP="00574B5F">
            <w:pPr>
              <w:pStyle w:val="NoSpacing"/>
              <w:numPr>
                <w:ilvl w:val="0"/>
                <w:numId w:val="2"/>
              </w:numPr>
              <w:ind w:left="240" w:hanging="180"/>
            </w:pPr>
            <w:r>
              <w:t xml:space="preserve">Attended no teaching-professional development activities </w:t>
            </w:r>
          </w:p>
        </w:tc>
        <w:tc>
          <w:tcPr>
            <w:tcW w:w="1940" w:type="pct"/>
          </w:tcPr>
          <w:p w:rsidR="00716BCB" w:rsidRDefault="00716BCB" w:rsidP="00574B5F">
            <w:pPr>
              <w:pStyle w:val="NoSpacing"/>
              <w:numPr>
                <w:ilvl w:val="0"/>
                <w:numId w:val="2"/>
              </w:numPr>
              <w:ind w:left="346" w:hanging="180"/>
            </w:pPr>
            <w:r>
              <w:t>Attended at least one teaching-professional development activity and shows evidence for incorporating learned ideas into instruction</w:t>
            </w:r>
          </w:p>
        </w:tc>
        <w:tc>
          <w:tcPr>
            <w:tcW w:w="1667" w:type="pct"/>
          </w:tcPr>
          <w:p w:rsidR="00716BCB" w:rsidRDefault="00716BCB" w:rsidP="00434AFD">
            <w:pPr>
              <w:pStyle w:val="NoSpacing"/>
              <w:numPr>
                <w:ilvl w:val="0"/>
                <w:numId w:val="2"/>
              </w:numPr>
              <w:ind w:left="316" w:hanging="180"/>
            </w:pPr>
            <w:r>
              <w:t>Attended two or more teaching-professional development activities and shows evidence for incorporating learned ideas into instruction</w:t>
            </w:r>
          </w:p>
          <w:p w:rsidR="00716BCB" w:rsidRDefault="00716BCB" w:rsidP="00434AFD">
            <w:pPr>
              <w:pStyle w:val="NoSpacing"/>
              <w:numPr>
                <w:ilvl w:val="0"/>
                <w:numId w:val="2"/>
              </w:numPr>
              <w:ind w:left="316" w:hanging="180"/>
            </w:pPr>
            <w:r>
              <w:t>Facilitated a teaching-professional development event for other faculty/TAs</w:t>
            </w:r>
          </w:p>
          <w:p w:rsidR="00716BCB" w:rsidRDefault="00716BCB" w:rsidP="00434AFD">
            <w:pPr>
              <w:pStyle w:val="NoSpacing"/>
              <w:numPr>
                <w:ilvl w:val="0"/>
                <w:numId w:val="2"/>
              </w:numPr>
              <w:ind w:left="316" w:hanging="180"/>
            </w:pPr>
            <w:r>
              <w:t>Published at least one paper on teaching in their discipline</w:t>
            </w:r>
          </w:p>
          <w:p w:rsidR="00716BCB" w:rsidRDefault="00716BCB" w:rsidP="00434AFD">
            <w:pPr>
              <w:pStyle w:val="NoSpacing"/>
              <w:numPr>
                <w:ilvl w:val="0"/>
                <w:numId w:val="2"/>
              </w:numPr>
              <w:ind w:left="316" w:hanging="180"/>
            </w:pPr>
            <w:r>
              <w:t>Awarded at least one grant to improve teaching or training of students.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716BCB">
            <w:pPr>
              <w:pStyle w:val="NoSpacing"/>
            </w:pPr>
            <w:r>
              <w:t>CA3. Adapting/revising to needs of learners</w:t>
            </w:r>
          </w:p>
        </w:tc>
      </w:tr>
      <w:tr w:rsidR="00716BCB" w:rsidTr="0004176F">
        <w:tc>
          <w:tcPr>
            <w:tcW w:w="1393" w:type="pct"/>
          </w:tcPr>
          <w:p w:rsidR="00716BCB" w:rsidRDefault="00716BCB" w:rsidP="00434AFD">
            <w:pPr>
              <w:pStyle w:val="NoSpacing"/>
              <w:numPr>
                <w:ilvl w:val="0"/>
                <w:numId w:val="3"/>
              </w:numPr>
              <w:ind w:left="240" w:hanging="180"/>
            </w:pPr>
            <w:r>
              <w:t>Shows no evidence for changing instruction based on comments from students and/or observations of student learning challenges</w:t>
            </w:r>
          </w:p>
        </w:tc>
        <w:tc>
          <w:tcPr>
            <w:tcW w:w="1940" w:type="pct"/>
          </w:tcPr>
          <w:p w:rsidR="00716BCB" w:rsidRDefault="00716BCB" w:rsidP="00434AFD">
            <w:pPr>
              <w:pStyle w:val="NoSpacing"/>
              <w:numPr>
                <w:ilvl w:val="0"/>
                <w:numId w:val="3"/>
              </w:numPr>
              <w:ind w:left="346" w:hanging="180"/>
            </w:pPr>
            <w:r>
              <w:t>Explains and shows evidence for changing instruction based on comments from students and/or observations of student learning challenges</w:t>
            </w:r>
          </w:p>
        </w:tc>
        <w:tc>
          <w:tcPr>
            <w:tcW w:w="1667" w:type="pct"/>
          </w:tcPr>
          <w:p w:rsidR="00716BCB" w:rsidRDefault="00716BCB" w:rsidP="00574B5F">
            <w:pPr>
              <w:pStyle w:val="NoSpacing"/>
              <w:numPr>
                <w:ilvl w:val="0"/>
                <w:numId w:val="3"/>
              </w:numPr>
              <w:ind w:left="316" w:hanging="180"/>
            </w:pPr>
            <w:r>
              <w:t xml:space="preserve">Explains and shows evidence for changing instruction based on multiple inputs from students and observations of student learning challenges (e.g., </w:t>
            </w:r>
            <w:r w:rsidR="00574B5F">
              <w:t>midterm feedback</w:t>
            </w:r>
            <w:r>
              <w:t>, surveys, classroom assessment techniques; frequent formative assessment)</w:t>
            </w:r>
          </w:p>
        </w:tc>
      </w:tr>
    </w:tbl>
    <w:p w:rsidR="0004176F" w:rsidRDefault="0004176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7"/>
        <w:gridCol w:w="5025"/>
        <w:gridCol w:w="4318"/>
      </w:tblGrid>
      <w:tr w:rsidR="0004176F" w:rsidTr="0004176F">
        <w:tc>
          <w:tcPr>
            <w:tcW w:w="5000" w:type="pct"/>
            <w:gridSpan w:val="3"/>
          </w:tcPr>
          <w:p w:rsidR="0004176F" w:rsidRDefault="0004176F" w:rsidP="00716BCB">
            <w:pPr>
              <w:pStyle w:val="NoSpacing"/>
            </w:pPr>
            <w:r>
              <w:lastRenderedPageBreak/>
              <w:t>CA4. Engage students to learn in the real/virtual classroom</w:t>
            </w:r>
          </w:p>
        </w:tc>
      </w:tr>
      <w:tr w:rsidR="00716BCB" w:rsidTr="0004176F">
        <w:tc>
          <w:tcPr>
            <w:tcW w:w="1393" w:type="pct"/>
          </w:tcPr>
          <w:p w:rsidR="00716BCB" w:rsidRDefault="00716BCB" w:rsidP="00434AFD">
            <w:pPr>
              <w:pStyle w:val="NoSpacing"/>
              <w:numPr>
                <w:ilvl w:val="0"/>
                <w:numId w:val="4"/>
              </w:numPr>
              <w:ind w:left="240" w:hanging="180"/>
            </w:pPr>
            <w:r>
              <w:t>Shows no evidence for using interactive engagement strategies to promote student learning (e.g., discussion, group/team learning experiences, peer instruction with clickers.)</w:t>
            </w:r>
          </w:p>
        </w:tc>
        <w:tc>
          <w:tcPr>
            <w:tcW w:w="1940" w:type="pct"/>
          </w:tcPr>
          <w:p w:rsidR="00716BCB" w:rsidRDefault="00716BCB" w:rsidP="00434AFD">
            <w:pPr>
              <w:pStyle w:val="NoSpacing"/>
              <w:numPr>
                <w:ilvl w:val="0"/>
                <w:numId w:val="4"/>
              </w:numPr>
              <w:ind w:left="346" w:hanging="180"/>
            </w:pPr>
            <w:r>
              <w:t>Explains and shows evidence for using interactive engagement strategies to promote student learning (e.g. discussion, group/team learning experiences, peer instruction with clickers)</w:t>
            </w:r>
          </w:p>
        </w:tc>
        <w:tc>
          <w:tcPr>
            <w:tcW w:w="1667" w:type="pct"/>
          </w:tcPr>
          <w:p w:rsidR="00716BCB" w:rsidRDefault="00716BCB" w:rsidP="00434AFD">
            <w:pPr>
              <w:pStyle w:val="NoSpacing"/>
              <w:numPr>
                <w:ilvl w:val="0"/>
                <w:numId w:val="4"/>
              </w:numPr>
              <w:ind w:left="316" w:hanging="180"/>
            </w:pPr>
            <w:r>
              <w:t>Explains and shows evidence for using and assessing the impact of multiple interactive engagement strategies to promote student learning (e.g., discussion, group/team learning experiences, peer instruction with clickers)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716BCB">
            <w:pPr>
              <w:pStyle w:val="NoSpacing"/>
            </w:pPr>
            <w:r>
              <w:t>CA5. Can explain and support choices in content, pedagogy, assessment</w:t>
            </w:r>
          </w:p>
        </w:tc>
      </w:tr>
      <w:tr w:rsidR="00434AFD" w:rsidTr="0004176F">
        <w:tc>
          <w:tcPr>
            <w:tcW w:w="1393" w:type="pct"/>
          </w:tcPr>
          <w:p w:rsidR="00434AFD" w:rsidRDefault="00434AFD" w:rsidP="00434AFD">
            <w:pPr>
              <w:pStyle w:val="NoSpacing"/>
              <w:numPr>
                <w:ilvl w:val="0"/>
                <w:numId w:val="5"/>
              </w:numPr>
              <w:ind w:left="240" w:hanging="180"/>
            </w:pPr>
            <w:r>
              <w:t>Offers no explanation of choices in content, pedagogy or assessment</w:t>
            </w:r>
          </w:p>
        </w:tc>
        <w:tc>
          <w:tcPr>
            <w:tcW w:w="1940" w:type="pct"/>
          </w:tcPr>
          <w:p w:rsidR="00434AFD" w:rsidRDefault="00434AFD" w:rsidP="00434AFD">
            <w:pPr>
              <w:pStyle w:val="NoSpacing"/>
              <w:numPr>
                <w:ilvl w:val="0"/>
                <w:numId w:val="5"/>
              </w:numPr>
              <w:ind w:left="346" w:hanging="180"/>
            </w:pPr>
            <w:r>
              <w:t>Explains choices in content based on disciplinary norms, attempts to engage students, or specific needs of students.</w:t>
            </w:r>
          </w:p>
          <w:p w:rsidR="00434AFD" w:rsidRDefault="00434AFD" w:rsidP="00574B5F">
            <w:pPr>
              <w:pStyle w:val="NoSpacing"/>
              <w:numPr>
                <w:ilvl w:val="0"/>
                <w:numId w:val="5"/>
              </w:numPr>
              <w:ind w:left="346" w:hanging="180"/>
            </w:pPr>
            <w:r>
              <w:t>Explains choices in pedagogy in terms of developments in the discipline, attempts to engage students, or specific needs of students</w:t>
            </w:r>
          </w:p>
        </w:tc>
        <w:tc>
          <w:tcPr>
            <w:tcW w:w="1667" w:type="pct"/>
          </w:tcPr>
          <w:p w:rsidR="00434AFD" w:rsidRDefault="00434AFD" w:rsidP="00434AFD">
            <w:pPr>
              <w:pStyle w:val="NoSpacing"/>
              <w:numPr>
                <w:ilvl w:val="0"/>
                <w:numId w:val="5"/>
              </w:numPr>
              <w:ind w:left="316" w:hanging="180"/>
            </w:pPr>
            <w:r>
              <w:t>Explains choices in content based on more than one of: disciplinary norms, attempts to engage students, or specific needs of students.</w:t>
            </w:r>
          </w:p>
          <w:p w:rsidR="00434AFD" w:rsidRDefault="00434AFD" w:rsidP="00434AFD">
            <w:pPr>
              <w:pStyle w:val="NoSpacing"/>
              <w:numPr>
                <w:ilvl w:val="0"/>
                <w:numId w:val="5"/>
              </w:numPr>
              <w:ind w:left="316" w:hanging="180"/>
            </w:pPr>
            <w:r>
              <w:t>Explains choices in pedagogy in terms of more than one of: developments in the discipline, attempts to engage students, or specific needs of students.</w:t>
            </w:r>
          </w:p>
          <w:p w:rsidR="00434AFD" w:rsidRDefault="00434AFD" w:rsidP="00434AFD">
            <w:pPr>
              <w:pStyle w:val="NoSpacing"/>
              <w:numPr>
                <w:ilvl w:val="0"/>
                <w:numId w:val="5"/>
              </w:numPr>
              <w:ind w:left="316" w:hanging="180"/>
            </w:pPr>
            <w:r>
              <w:t>Explains specific choices of assessment methods.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434AFD">
            <w:pPr>
              <w:pStyle w:val="NoSpacing"/>
            </w:pPr>
            <w:r>
              <w:t>CA6. Mentoring/Advising undergraduate, graduate, professional student scholars</w:t>
            </w:r>
          </w:p>
        </w:tc>
      </w:tr>
      <w:tr w:rsidR="00434AFD" w:rsidTr="0004176F">
        <w:tc>
          <w:tcPr>
            <w:tcW w:w="1393" w:type="pct"/>
          </w:tcPr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240" w:hanging="180"/>
            </w:pPr>
            <w:r>
              <w:t>No evidence of mentoring or advising students</w:t>
            </w:r>
          </w:p>
        </w:tc>
        <w:tc>
          <w:tcPr>
            <w:tcW w:w="1940" w:type="pct"/>
          </w:tcPr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346" w:hanging="180"/>
            </w:pPr>
            <w:r>
              <w:t>Evidence of mentoring of lower division, upper division, graduate or professional students</w:t>
            </w:r>
          </w:p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346" w:hanging="180"/>
            </w:pPr>
            <w:r>
              <w:t>Mentoring activities have occurred over several years.</w:t>
            </w:r>
          </w:p>
        </w:tc>
        <w:tc>
          <w:tcPr>
            <w:tcW w:w="1667" w:type="pct"/>
          </w:tcPr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316" w:hanging="180"/>
            </w:pPr>
            <w:r>
              <w:t>Evidence of mentoring more than one level of student (e.g. more than one of lower vision, upper division, graduate, or professional students)</w:t>
            </w:r>
          </w:p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316" w:hanging="180"/>
            </w:pPr>
            <w:r>
              <w:t>Description of outcomes of mentoring.</w:t>
            </w:r>
          </w:p>
          <w:p w:rsidR="00434AFD" w:rsidRDefault="00434AFD" w:rsidP="00434AFD">
            <w:pPr>
              <w:pStyle w:val="NoSpacing"/>
              <w:numPr>
                <w:ilvl w:val="0"/>
                <w:numId w:val="6"/>
              </w:numPr>
              <w:ind w:left="316" w:hanging="180"/>
            </w:pPr>
            <w:r>
              <w:t>Consistent mentoring activity over several years.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434AFD">
            <w:pPr>
              <w:pStyle w:val="NoSpacing"/>
            </w:pPr>
            <w:r>
              <w:t>CA7. Tracking learning outcomes for improvement</w:t>
            </w:r>
          </w:p>
        </w:tc>
      </w:tr>
      <w:tr w:rsidR="00434AFD" w:rsidTr="0004176F">
        <w:tc>
          <w:tcPr>
            <w:tcW w:w="1393" w:type="pct"/>
          </w:tcPr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240" w:hanging="180"/>
            </w:pPr>
            <w:r>
              <w:t>Provides no student learning outcomes for their courses.</w:t>
            </w:r>
          </w:p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240" w:hanging="180"/>
            </w:pPr>
            <w:r>
              <w:t>Shows no assessment of student learning.</w:t>
            </w:r>
          </w:p>
        </w:tc>
        <w:tc>
          <w:tcPr>
            <w:tcW w:w="1940" w:type="pct"/>
          </w:tcPr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346" w:hanging="180"/>
            </w:pPr>
            <w:r>
              <w:t>Student learning outcomes (SLO’s) developed for all courses and listed on syllabi.</w:t>
            </w:r>
          </w:p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346" w:hanging="180"/>
            </w:pPr>
            <w:r>
              <w:t>Explains and provides evidence for assessing student learning outcomes revising curriculum or instruction to improve learning</w:t>
            </w:r>
          </w:p>
        </w:tc>
        <w:tc>
          <w:tcPr>
            <w:tcW w:w="1667" w:type="pct"/>
          </w:tcPr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316" w:hanging="180"/>
            </w:pPr>
            <w:r>
              <w:t>Matches course SLO’s to degree-program SLO’s</w:t>
            </w:r>
          </w:p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316" w:hanging="180"/>
            </w:pPr>
            <w:r>
              <w:t>Matches course SLO’s to university core curriculum SLO’s/competencies (if applicable)</w:t>
            </w:r>
          </w:p>
          <w:p w:rsidR="00434AFD" w:rsidRDefault="00434AFD" w:rsidP="00434AFD">
            <w:pPr>
              <w:pStyle w:val="NoSpacing"/>
              <w:numPr>
                <w:ilvl w:val="0"/>
                <w:numId w:val="7"/>
              </w:numPr>
              <w:ind w:left="316" w:hanging="180"/>
            </w:pPr>
            <w:r>
              <w:lastRenderedPageBreak/>
              <w:t>Serves as coordinator for development, assessment and discussion of departmental SLO’s</w:t>
            </w:r>
          </w:p>
        </w:tc>
      </w:tr>
      <w:tr w:rsidR="00434AFD" w:rsidTr="0004176F">
        <w:tc>
          <w:tcPr>
            <w:tcW w:w="5000" w:type="pct"/>
            <w:gridSpan w:val="3"/>
          </w:tcPr>
          <w:p w:rsidR="00434AFD" w:rsidRDefault="00434AFD" w:rsidP="00434AFD">
            <w:pPr>
              <w:pStyle w:val="NoSpacing"/>
            </w:pPr>
            <w:r>
              <w:lastRenderedPageBreak/>
              <w:t>CA8. Fit of teaching activities within curriculum</w:t>
            </w:r>
          </w:p>
        </w:tc>
      </w:tr>
      <w:tr w:rsidR="00434AFD" w:rsidTr="0004176F">
        <w:tc>
          <w:tcPr>
            <w:tcW w:w="1393" w:type="pct"/>
          </w:tcPr>
          <w:p w:rsidR="00434AFD" w:rsidRDefault="00434AFD" w:rsidP="00434AFD">
            <w:pPr>
              <w:pStyle w:val="NoSpacing"/>
              <w:numPr>
                <w:ilvl w:val="0"/>
                <w:numId w:val="8"/>
              </w:numPr>
              <w:ind w:left="330" w:hanging="270"/>
            </w:pPr>
            <w:r>
              <w:t>Provides no explanation of fit of their courses into the curriculum of the department or university</w:t>
            </w:r>
          </w:p>
        </w:tc>
        <w:tc>
          <w:tcPr>
            <w:tcW w:w="1940" w:type="pct"/>
          </w:tcPr>
          <w:p w:rsidR="00434AFD" w:rsidRDefault="00434AFD" w:rsidP="00434AFD">
            <w:pPr>
              <w:pStyle w:val="NoSpacing"/>
              <w:numPr>
                <w:ilvl w:val="0"/>
                <w:numId w:val="8"/>
              </w:numPr>
              <w:ind w:left="346" w:hanging="180"/>
            </w:pPr>
            <w:r>
              <w:t>Explains where courses fits within departmental degree requirements</w:t>
            </w:r>
          </w:p>
        </w:tc>
        <w:tc>
          <w:tcPr>
            <w:tcW w:w="1667" w:type="pct"/>
          </w:tcPr>
          <w:p w:rsidR="00434AFD" w:rsidRDefault="00434AFD" w:rsidP="00434AFD">
            <w:pPr>
              <w:pStyle w:val="NoSpacing"/>
              <w:numPr>
                <w:ilvl w:val="0"/>
                <w:numId w:val="8"/>
              </w:numPr>
              <w:ind w:left="316" w:hanging="180"/>
            </w:pPr>
            <w:r>
              <w:t>Connects course goals and content to other courses within the department and across the university</w:t>
            </w:r>
          </w:p>
          <w:p w:rsidR="00434AFD" w:rsidRDefault="00434AFD" w:rsidP="00434AFD">
            <w:pPr>
              <w:pStyle w:val="NoSpacing"/>
              <w:numPr>
                <w:ilvl w:val="0"/>
                <w:numId w:val="8"/>
              </w:numPr>
              <w:ind w:left="316" w:hanging="180"/>
            </w:pPr>
            <w:r>
              <w:t>Explains fit of the course within students’ educational programs within the university</w:t>
            </w:r>
          </w:p>
        </w:tc>
      </w:tr>
    </w:tbl>
    <w:p w:rsidR="00716BCB" w:rsidRDefault="00716BCB" w:rsidP="00716BCB">
      <w:pPr>
        <w:pStyle w:val="NoSpacing"/>
      </w:pPr>
    </w:p>
    <w:p w:rsidR="0004176F" w:rsidRDefault="0004176F" w:rsidP="00716BCB">
      <w:pPr>
        <w:pStyle w:val="NoSpacing"/>
      </w:pPr>
      <w:r>
        <w:t>From College of Arts and Sciences, University of New Mexico</w:t>
      </w:r>
    </w:p>
    <w:p w:rsidR="0004176F" w:rsidRDefault="0004176F" w:rsidP="00716BCB">
      <w:pPr>
        <w:pStyle w:val="NoSpacing"/>
      </w:pPr>
      <w:r w:rsidRPr="0004176F">
        <w:t>https://artsci.unm.edu/for-faculty/docs/faculty/lecturer-forms/2.as-teaching-portfolio_for-rpt-review.pdf</w:t>
      </w:r>
    </w:p>
    <w:sectPr w:rsidR="0004176F" w:rsidSect="00041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FA0"/>
    <w:multiLevelType w:val="hybridMultilevel"/>
    <w:tmpl w:val="A7A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9CD"/>
    <w:multiLevelType w:val="hybridMultilevel"/>
    <w:tmpl w:val="A146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A41"/>
    <w:multiLevelType w:val="hybridMultilevel"/>
    <w:tmpl w:val="2D90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329A"/>
    <w:multiLevelType w:val="hybridMultilevel"/>
    <w:tmpl w:val="E6F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694F"/>
    <w:multiLevelType w:val="hybridMultilevel"/>
    <w:tmpl w:val="EB8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F73"/>
    <w:multiLevelType w:val="hybridMultilevel"/>
    <w:tmpl w:val="5C6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31417"/>
    <w:multiLevelType w:val="hybridMultilevel"/>
    <w:tmpl w:val="062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D47A0"/>
    <w:multiLevelType w:val="hybridMultilevel"/>
    <w:tmpl w:val="5B0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B"/>
    <w:rsid w:val="0004176F"/>
    <w:rsid w:val="00203BA0"/>
    <w:rsid w:val="002E1D14"/>
    <w:rsid w:val="00434AFD"/>
    <w:rsid w:val="00520D9A"/>
    <w:rsid w:val="00574B5F"/>
    <w:rsid w:val="005C5842"/>
    <w:rsid w:val="00716BCB"/>
    <w:rsid w:val="00A86ACC"/>
    <w:rsid w:val="00A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6DED-4B8B-442B-8B81-8195E66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BCB"/>
    <w:pPr>
      <w:spacing w:after="0" w:line="240" w:lineRule="auto"/>
    </w:pPr>
  </w:style>
  <w:style w:type="table" w:styleId="TableGrid">
    <w:name w:val="Table Grid"/>
    <w:basedOn w:val="TableNormal"/>
    <w:uiPriority w:val="39"/>
    <w:rsid w:val="0071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Swatski</dc:creator>
  <cp:keywords/>
  <dc:description/>
  <cp:lastModifiedBy>Sarah Swatski</cp:lastModifiedBy>
  <cp:revision>2</cp:revision>
  <dcterms:created xsi:type="dcterms:W3CDTF">2018-01-19T18:53:00Z</dcterms:created>
  <dcterms:modified xsi:type="dcterms:W3CDTF">2018-01-19T18:53:00Z</dcterms:modified>
</cp:coreProperties>
</file>